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825E5" w:rsidR="005B64CD" w:rsidP="1C983A62" w:rsidRDefault="005B64CD" w14:paraId="1565056E" w14:textId="586A9FBC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</w:rPr>
      </w:pPr>
      <w:bookmarkStart w:name="_GoBack" w:id="0"/>
      <w:bookmarkEnd w:id="0"/>
      <w:r w:rsidRPr="1C983A62" w:rsidR="005B64C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ePRO Report</w:t>
      </w:r>
      <w:r w:rsidRPr="1C983A62" w:rsidR="008B5D1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ing </w:t>
      </w:r>
      <w:r w:rsidRPr="1C983A62" w:rsidR="0047613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Tool </w:t>
      </w:r>
      <w:r w:rsidRPr="1C983A62" w:rsidR="00517B8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Functional </w:t>
      </w:r>
      <w:r w:rsidRPr="1C983A62" w:rsidR="008B5D1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Requirements</w:t>
      </w:r>
      <w:r w:rsidRPr="1C983A62" w:rsidR="005B64C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1C983A62" w:rsidR="00517B8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Guide</w:t>
      </w:r>
    </w:p>
    <w:p w:rsidRPr="00C77193" w:rsidR="00C77193" w:rsidP="1C983A62" w:rsidRDefault="00C77193" w14:paraId="1F926686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E242B1" w:rsidR="00461F0C" w:rsidP="1C983A62" w:rsidRDefault="00461F0C" w14:paraId="20537844" w14:textId="1CE562D4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C983A62" w:rsidR="00461F0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This </w:t>
      </w:r>
      <w:r w:rsidRPr="1C983A62" w:rsidR="00517B8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guide</w:t>
      </w:r>
      <w:r w:rsidRPr="1C983A62" w:rsidR="00461F0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1C983A62" w:rsidR="00470DC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provides a list of possible</w:t>
      </w:r>
      <w:r w:rsidRPr="1C983A62" w:rsidR="00517B8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1C983A62" w:rsidR="00470DC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ePRO Reporting Tool </w:t>
      </w:r>
      <w:r w:rsidRPr="1C983A62" w:rsidR="00517B8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functional</w:t>
      </w:r>
      <w:r w:rsidRPr="1C983A62" w:rsidR="00461F0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requirement</w:t>
      </w:r>
      <w:r w:rsidRPr="1C983A62" w:rsidR="00470DC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</w:t>
      </w:r>
      <w:r w:rsidRPr="1C983A62" w:rsidR="00517B8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related to guidelines in the Reporting section of the ePRO toolkit</w:t>
      </w:r>
      <w:r w:rsidRPr="1C983A62" w:rsidR="0047613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</w:t>
      </w:r>
      <w:r w:rsidRPr="1C983A62" w:rsidR="003528E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Further details regarding each item are provided in the Reporting section of this toolkit and in the Recommended Resources section.</w:t>
      </w:r>
    </w:p>
    <w:p w:rsidRPr="00E242B1" w:rsidR="00461F0C" w:rsidP="1C983A62" w:rsidRDefault="00476139" w14:paraId="163C6C67" w14:textId="0A581DEB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C983A62" w:rsidR="0047613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This tool may be useful </w:t>
      </w:r>
      <w:r w:rsidRPr="1C983A62" w:rsidR="00A764B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to committed or individuals charged with:</w:t>
      </w:r>
    </w:p>
    <w:p w:rsidRPr="00E242B1" w:rsidR="00461F0C" w:rsidP="1C983A62" w:rsidRDefault="00461F0C" w14:paraId="626C1AB4" w14:textId="14775299">
      <w:pPr>
        <w:pStyle w:val="ListParagraph"/>
        <w:numPr>
          <w:ilvl w:val="0"/>
          <w:numId w:val="39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C983A62" w:rsidR="00461F0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ePRO reporting system selection</w:t>
      </w:r>
    </w:p>
    <w:p w:rsidRPr="00E242B1" w:rsidR="00461F0C" w:rsidP="1C983A62" w:rsidRDefault="005A5F5E" w14:paraId="0DACF254" w14:textId="65114959">
      <w:pPr>
        <w:pStyle w:val="ListParagraph"/>
        <w:numPr>
          <w:ilvl w:val="0"/>
          <w:numId w:val="39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C983A62" w:rsidR="005A5F5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Customizing ePRO reporting systems</w:t>
      </w:r>
    </w:p>
    <w:p w:rsidRPr="00E242B1" w:rsidR="00461F0C" w:rsidP="1C983A62" w:rsidRDefault="005A5F5E" w14:paraId="03886901" w14:textId="3D263E82">
      <w:pPr>
        <w:pStyle w:val="ListParagraph"/>
        <w:numPr>
          <w:ilvl w:val="0"/>
          <w:numId w:val="39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C983A62" w:rsidR="005A5F5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Addressing</w:t>
      </w:r>
      <w:r w:rsidRPr="1C983A62" w:rsidR="00461F0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situational challenges</w:t>
      </w:r>
      <w:r w:rsidRPr="1C983A62" w:rsidR="005A5F5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/issues</w:t>
      </w:r>
      <w:r w:rsidRPr="1C983A62" w:rsidR="00461F0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with</w:t>
      </w:r>
      <w:r w:rsidRPr="1C983A62" w:rsidR="005A5F5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the capabilities of</w:t>
      </w:r>
      <w:r w:rsidRPr="1C983A62" w:rsidR="00461F0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existing</w:t>
      </w:r>
      <w:r w:rsidRPr="1C983A62" w:rsidR="005A5F5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ePRO reporting</w:t>
      </w:r>
      <w:r w:rsidRPr="1C983A62" w:rsidR="00461F0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systems</w:t>
      </w:r>
    </w:p>
    <w:p w:rsidR="00093977" w:rsidP="1C983A62" w:rsidRDefault="00093977" w14:paraId="272964CA" w14:textId="77777777">
      <w:pPr>
        <w:pStyle w:val="Heading2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2825E5" w:rsidR="00563310" w:rsidP="1C983A62" w:rsidRDefault="00563310" w14:paraId="4C31976B" w14:textId="42C1FD90">
      <w:pPr>
        <w:pStyle w:val="Heading2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</w:rPr>
      </w:pPr>
      <w:r w:rsidRPr="1C983A62" w:rsidR="0056331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Human Factor Considerations</w:t>
      </w:r>
      <w:r w:rsidRPr="1C983A62" w:rsidR="00884D8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for ePRO Reports</w:t>
      </w:r>
    </w:p>
    <w:p w:rsidRPr="00E242B1" w:rsidR="003528EB" w:rsidP="1C983A62" w:rsidRDefault="003528EB" w14:paraId="1AA537E1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tbl>
      <w:tblPr>
        <w:tblStyle w:val="GridTable5Dark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90"/>
        <w:gridCol w:w="8483"/>
      </w:tblGrid>
      <w:tr w:rsidRPr="00E242B1" w:rsidR="00CE7341" w:rsidTr="1C983A62" w14:paraId="3BDB7B1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color="auto" w:sz="0" w:space="0"/>
              <w:left w:val="none" w:color="auto" w:sz="0" w:space="0"/>
              <w:right w:val="single" w:color="FFFFFF" w:themeColor="background1" w:sz="4" w:space="0"/>
            </w:tcBorders>
            <w:tcMar/>
          </w:tcPr>
          <w:p w:rsidRPr="00E242B1" w:rsidR="00CE7341" w:rsidP="1C983A62" w:rsidRDefault="00CE7341" w14:paraId="2764AD03" w14:textId="045B16AA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C983A62" w:rsidR="00CE734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Guideline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color="auto" w:sz="0" w:space="0"/>
              <w:left w:val="single" w:color="FFFFFF" w:themeColor="background1" w:sz="4" w:space="0"/>
              <w:right w:val="none" w:color="auto" w:sz="0" w:space="0"/>
            </w:tcBorders>
            <w:tcMar/>
          </w:tcPr>
          <w:p w:rsidRPr="00E242B1" w:rsidR="00CE7341" w:rsidP="1C983A62" w:rsidRDefault="00CE7341" w14:paraId="5C4E1DD6" w14:textId="528253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C983A62" w:rsidR="00CE734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Considerations</w:t>
            </w:r>
          </w:p>
        </w:tc>
      </w:tr>
      <w:tr w:rsidRPr="00E242B1" w:rsidR="00563310" w:rsidTr="1C983A62" w14:paraId="7A97C0D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color="auto" w:sz="0" w:space="0"/>
              <w:bottom w:val="none" w:color="auto" w:sz="0" w:space="0"/>
            </w:tcBorders>
            <w:tcMar/>
            <w:hideMark/>
          </w:tcPr>
          <w:p w:rsidRPr="00E242B1" w:rsidR="00CE7341" w:rsidP="1C983A62" w:rsidRDefault="00B408AB" w14:paraId="2BE5E29E" w14:textId="5E7C1F94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1C983A62" w:rsidR="00B408A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24</w:t>
            </w:r>
            <w:r w:rsidRPr="1C983A62" w:rsidR="00CE734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- </w:t>
            </w:r>
          </w:p>
          <w:p w:rsidRPr="00E242B1" w:rsidR="00CE7341" w:rsidP="1C983A62" w:rsidRDefault="00CE7341" w14:paraId="488876D1" w14:textId="2E55C7FC">
            <w:pPr>
              <w:shd w:val="clear" w:color="auto" w:fill="000000" w:themeFill="text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</w:pPr>
            <w:r w:rsidRPr="1C983A62" w:rsidR="00CE734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highlight w:val="black"/>
                <w:shd w:val="clear" w:color="auto" w:fill="FFFFFF"/>
              </w:rPr>
              <w:t>Model clinical use of ePRO reports</w:t>
            </w:r>
          </w:p>
          <w:p w:rsidRPr="00E242B1" w:rsidR="00563310" w:rsidP="1C983A62" w:rsidRDefault="00563310" w14:paraId="4C571C00" w14:textId="3643145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tcMar/>
            <w:hideMark/>
          </w:tcPr>
          <w:p w:rsidRPr="00E242B1" w:rsidR="00563310" w:rsidP="1C983A62" w:rsidRDefault="00563310" w14:paraId="7302D621" w14:textId="0F3FB15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C983A62" w:rsidR="0056331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Have an</w:t>
            </w:r>
            <w:r w:rsidRPr="1C983A62" w:rsidR="00AE4DD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y</w:t>
            </w:r>
            <w:r w:rsidRPr="1C983A62" w:rsidR="0056331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User Centered Design methods been used to model users, contexts, and workflows?</w:t>
            </w:r>
            <w:r w:rsidRPr="1C983A62" w:rsidR="00AE4DD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  <w:p w:rsidR="001F40E5" w:rsidP="1C983A62" w:rsidRDefault="001F40E5" w14:paraId="43D74531" w14:textId="77777777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1F40E5" w:rsidP="1C983A62" w:rsidRDefault="001F40E5" w14:paraId="1D2A8597" w14:textId="77777777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E242B1" w:rsidR="00563310" w:rsidP="1C983A62" w:rsidRDefault="005E75B9" w14:paraId="224E2EC2" w14:textId="34863EF8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C983A62" w:rsidR="005E75B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If yes, </w:t>
            </w:r>
            <w:r w:rsidRPr="1C983A62" w:rsidR="00A0522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what are the </w:t>
            </w:r>
            <w:r w:rsidRPr="1C983A62" w:rsidR="005E75B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resulting key considerations for system selection and report design</w:t>
            </w:r>
            <w:r w:rsidRPr="1C983A62" w:rsidR="00A0522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?</w:t>
            </w:r>
          </w:p>
          <w:p w:rsidRPr="00E242B1" w:rsidR="00540DEC" w:rsidP="1C983A62" w:rsidRDefault="00540DEC" w14:paraId="2A1E8156" w14:textId="77777777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540DEC" w:rsidP="1C983A62" w:rsidRDefault="00540DEC" w14:paraId="3C6D4EDE" w14:textId="77777777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1F40E5" w:rsidP="1C983A62" w:rsidRDefault="001F40E5" w14:paraId="2A7D5F6C" w14:textId="77777777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1F40E5" w:rsidP="1C983A62" w:rsidRDefault="001F40E5" w14:paraId="0DF52410" w14:textId="77777777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1F40E5" w:rsidP="1C983A62" w:rsidRDefault="001F40E5" w14:paraId="7D1A61BD" w14:textId="77777777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1F40E5" w:rsidP="1C983A62" w:rsidRDefault="001F40E5" w14:paraId="2B2C0001" w14:textId="77777777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1F40E5" w:rsidP="1C983A62" w:rsidRDefault="001F40E5" w14:paraId="39F2CF42" w14:textId="77777777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1F40E5" w:rsidP="1C983A62" w:rsidRDefault="001F40E5" w14:paraId="06840D23" w14:textId="77777777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1F40E5" w:rsidP="1C983A62" w:rsidRDefault="001F40E5" w14:paraId="6698E1D2" w14:textId="77777777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1F40E5" w:rsidP="1C983A62" w:rsidRDefault="001F40E5" w14:paraId="59BC73D0" w14:textId="77777777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1F40E5" w:rsidP="1C983A62" w:rsidRDefault="001F40E5" w14:paraId="694D33B4" w14:textId="77777777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1F40E5" w:rsidP="1C983A62" w:rsidRDefault="001F40E5" w14:paraId="1EA9F280" w14:textId="77777777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E242B1" w:rsidR="001F40E5" w:rsidP="1C983A62" w:rsidRDefault="001F40E5" w14:paraId="44DA0251" w14:textId="51C57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</w:tbl>
    <w:p w:rsidR="001F40E5" w:rsidP="1C983A62" w:rsidRDefault="001F40E5" w14:paraId="43D64840" w14:textId="77777777">
      <w:pPr>
        <w:pStyle w:val="Heading2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2825E5" w:rsidR="0058281D" w:rsidP="1C983A62" w:rsidRDefault="00B73632" w14:paraId="490AB6E3" w14:textId="7098F342">
      <w:pPr>
        <w:pStyle w:val="Heading2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</w:rPr>
      </w:pPr>
      <w:r w:rsidRPr="1C983A62" w:rsidR="00B7363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Assessment of ePRO Reporting System</w:t>
      </w:r>
      <w:r w:rsidRPr="1C983A62" w:rsidR="0058281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Functional</w:t>
      </w:r>
      <w:r w:rsidRPr="1C983A62" w:rsidR="00B7363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1C983A62" w:rsidR="00540DE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Requirements</w:t>
      </w:r>
    </w:p>
    <w:p w:rsidRPr="002825E5" w:rsidR="002825E5" w:rsidP="1C983A62" w:rsidRDefault="002825E5" w14:paraId="36B9245C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tbl>
      <w:tblPr>
        <w:tblStyle w:val="GridTable5Dark"/>
        <w:tblW w:w="0" w:type="auto"/>
        <w:tblLook w:val="04A0" w:firstRow="1" w:lastRow="0" w:firstColumn="1" w:lastColumn="0" w:noHBand="0" w:noVBand="1"/>
      </w:tblPr>
      <w:tblGrid>
        <w:gridCol w:w="2976"/>
        <w:gridCol w:w="6379"/>
        <w:gridCol w:w="1620"/>
        <w:gridCol w:w="1975"/>
      </w:tblGrid>
      <w:tr w:rsidRPr="0058281D" w:rsidR="00E5522C" w:rsidTr="1C983A62" w14:paraId="336C24E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color="auto" w:sz="4" w:space="0"/>
              <w:bottom w:val="single" w:color="FFFFFF" w:themeColor="background1" w:sz="4" w:space="0"/>
              <w:right w:val="single" w:color="FFFFFF" w:themeColor="background1" w:sz="4" w:space="0"/>
            </w:tcBorders>
            <w:noWrap/>
            <w:tcMar/>
          </w:tcPr>
          <w:p w:rsidRPr="001F40E5" w:rsidR="004C1D1E" w:rsidP="1C983A62" w:rsidRDefault="004C1D1E" w14:paraId="446749FB" w14:textId="5975BD8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</w:pPr>
            <w:r w:rsidRPr="1C983A62" w:rsidR="004C1D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  <w:t>Guideline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79" w:type="dxa"/>
            <w:tcBorders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noWrap/>
            <w:tcMar/>
          </w:tcPr>
          <w:p w:rsidRPr="00E242B1" w:rsidR="004C1D1E" w:rsidP="1C983A62" w:rsidRDefault="004C1D1E" w14:paraId="498DF701" w14:textId="3C25A0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C983A62" w:rsidR="004C1D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Function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Borders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noWrap/>
            <w:tcMar/>
          </w:tcPr>
          <w:p w:rsidR="001F40E5" w:rsidP="1C983A62" w:rsidRDefault="006664CC" w14:paraId="4BC1766C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1C983A62" w:rsidR="006664C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Priority </w:t>
            </w:r>
          </w:p>
          <w:p w:rsidRPr="00E242B1" w:rsidR="004C1D1E" w:rsidP="1C983A62" w:rsidRDefault="006664CC" w14:paraId="586D2668" w14:textId="78C8D5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C983A62" w:rsidR="006664C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(Required/ Optional)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single" w:color="FFFFFF" w:themeColor="background1" w:sz="4" w:space="0"/>
              <w:bottom w:val="single" w:color="auto" w:sz="4" w:space="0"/>
            </w:tcBorders>
            <w:noWrap/>
            <w:tcMar/>
          </w:tcPr>
          <w:p w:rsidR="001F40E5" w:rsidP="1C983A62" w:rsidRDefault="004C1D1E" w14:paraId="1BE1A1FE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1C983A62" w:rsidR="004C1D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Included in system</w:t>
            </w:r>
          </w:p>
          <w:p w:rsidRPr="00E242B1" w:rsidR="004C1D1E" w:rsidP="1C983A62" w:rsidRDefault="004C1D1E" w14:paraId="6649AC84" w14:textId="57E8DF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C983A62" w:rsidR="004C1D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(Yes/No/ Customization)</w:t>
            </w:r>
          </w:p>
        </w:tc>
      </w:tr>
      <w:tr w:rsidRPr="0058281D" w:rsidR="00726169" w:rsidTr="1C983A62" w14:paraId="6967B322" w14:textId="17579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auto" w:sz="4" w:space="0"/>
            </w:tcBorders>
            <w:tcMar/>
            <w:hideMark/>
          </w:tcPr>
          <w:p w:rsidRPr="001F40E5" w:rsidR="008B7D2C" w:rsidP="1C983A62" w:rsidRDefault="008B7D2C" w14:paraId="7991E82C" w14:textId="77777777">
            <w:pPr>
              <w:spacing w:before="100" w:beforeAutospacing="on" w:after="100" w:afterAutospacing="on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/>
                <w:sz w:val="22"/>
                <w:szCs w:val="22"/>
                <w:highlight w:val="black"/>
              </w:rPr>
            </w:pPr>
            <w:r w:rsidRPr="1C983A62" w:rsidR="008B7D2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  <w:t xml:space="preserve">15 - </w:t>
            </w:r>
            <w:r w:rsidRPr="1C983A62" w:rsidR="008B7D2C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  <w:shd w:val="clear" w:color="auto" w:fill="FFFFFF"/>
              </w:rPr>
              <w:t>Automate to improve ePRO workflow</w:t>
            </w:r>
          </w:p>
          <w:p w:rsidRPr="001F40E5" w:rsidR="004C1D1E" w:rsidP="1C983A62" w:rsidRDefault="004C1D1E" w14:paraId="53D253DD" w14:textId="5DD96F5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Pr="00E242B1" w:rsidR="004C1D1E" w:rsidP="1C983A62" w:rsidRDefault="004C1D1E" w14:paraId="50BFCEA7" w14:textId="07F4A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C983A62" w:rsidR="004C1D1E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Auto-populat</w:t>
            </w:r>
            <w:r w:rsidRPr="1C983A62" w:rsidR="006664CC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es</w:t>
            </w:r>
            <w:r w:rsidRPr="1C983A62" w:rsidR="004C1D1E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fields based on patient EHR data or other previously collected data (e.g., intervention type/date) </w:t>
            </w:r>
            <w:r w:rsidRPr="1C983A62" w:rsidR="004C1D1E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242B1" w:rsidR="004C1D1E" w:rsidP="1C983A62" w:rsidRDefault="004C1D1E" w14:paraId="0C6B6F2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242B1" w:rsidR="004C1D1E" w:rsidP="1C983A62" w:rsidRDefault="004C1D1E" w14:paraId="173E8330" w14:textId="6E674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Pr="0058281D" w:rsidR="00F27859" w:rsidTr="1C983A62" w14:paraId="45A46B7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auto" w:sz="4" w:space="0"/>
            </w:tcBorders>
            <w:tcMar/>
          </w:tcPr>
          <w:p w:rsidRPr="001F40E5" w:rsidR="008B7D2C" w:rsidP="1C983A62" w:rsidRDefault="008B7D2C" w14:paraId="0ADC205F" w14:textId="77777777">
            <w:pPr>
              <w:spacing w:before="100" w:beforeAutospacing="on" w:after="100" w:afterAutospacing="on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/>
                <w:sz w:val="22"/>
                <w:szCs w:val="22"/>
                <w:highlight w:val="black"/>
              </w:rPr>
            </w:pPr>
            <w:r w:rsidRPr="1C983A62" w:rsidR="008B7D2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  <w:t xml:space="preserve">15 - </w:t>
            </w:r>
            <w:r w:rsidRPr="1C983A62" w:rsidR="008B7D2C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  <w:shd w:val="clear" w:color="auto" w:fill="FFFFFF"/>
              </w:rPr>
              <w:t>Automate to improve ePRO workflow</w:t>
            </w:r>
          </w:p>
          <w:p w:rsidRPr="001F40E5" w:rsidR="004C1D1E" w:rsidP="1C983A62" w:rsidRDefault="004C1D1E" w14:paraId="13F2CE2F" w14:textId="58C7FA5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242B1" w:rsidR="004C1D1E" w:rsidP="1C983A62" w:rsidRDefault="006664CC" w14:paraId="64DC954C" w14:textId="635FD110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C983A62" w:rsidR="006664CC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2"/>
                <w:szCs w:val="22"/>
              </w:rPr>
              <w:t>Calculates</w:t>
            </w:r>
            <w:r w:rsidRPr="1C983A62" w:rsidR="004C1D1E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2"/>
                <w:szCs w:val="22"/>
              </w:rPr>
              <w:t xml:space="preserve"> PRO scores, sub scores, and associated statistics </w:t>
            </w:r>
            <w:r w:rsidRPr="1C983A62" w:rsidR="004C1D1E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2"/>
                <w:szCs w:val="22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242B1" w:rsidR="004C1D1E" w:rsidP="1C983A62" w:rsidRDefault="004C1D1E" w14:paraId="028678C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242B1" w:rsidR="004C1D1E" w:rsidP="1C983A62" w:rsidRDefault="004C1D1E" w14:paraId="7D587599" w14:textId="10936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Pr="0058281D" w:rsidR="00E5522C" w:rsidTr="1C983A62" w14:paraId="196CEBC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color="FFFFFF" w:themeColor="background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F40E5" w:rsidR="008B7D2C" w:rsidP="1C983A62" w:rsidRDefault="008B7D2C" w14:paraId="2442A1E9" w14:textId="77777777">
            <w:pPr>
              <w:spacing w:before="100" w:beforeAutospacing="on" w:after="100" w:afterAutospacing="on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/>
                <w:sz w:val="22"/>
                <w:szCs w:val="22"/>
                <w:highlight w:val="black"/>
              </w:rPr>
            </w:pPr>
            <w:r w:rsidRPr="1C983A62" w:rsidR="008B7D2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  <w:t xml:space="preserve">15 - </w:t>
            </w:r>
            <w:r w:rsidRPr="1C983A62" w:rsidR="008B7D2C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  <w:shd w:val="clear" w:color="auto" w:fill="FFFFFF"/>
              </w:rPr>
              <w:t>Automate to improve ePRO workflow</w:t>
            </w:r>
          </w:p>
          <w:p w:rsidRPr="001F40E5" w:rsidR="004C1D1E" w:rsidP="1C983A62" w:rsidRDefault="004C1D1E" w14:paraId="4FBC6C75" w14:textId="5B31E59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242B1" w:rsidR="004C1D1E" w:rsidP="1C983A62" w:rsidRDefault="006664CC" w14:paraId="0A999A60" w14:textId="13B25980">
            <w:pPr>
              <w:pStyle w:val="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C983A62" w:rsidR="006664CC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2"/>
                <w:szCs w:val="22"/>
              </w:rPr>
              <w:t>A</w:t>
            </w:r>
            <w:r w:rsidRPr="1C983A62" w:rsidR="006664CC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2"/>
                <w:szCs w:val="22"/>
              </w:rPr>
              <w:t>rchives</w:t>
            </w:r>
            <w:r w:rsidRPr="1C983A62" w:rsidR="004C1D1E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2"/>
                <w:szCs w:val="22"/>
              </w:rPr>
              <w:t xml:space="preserve"> PRO scores to be retrieved </w:t>
            </w:r>
            <w:proofErr w:type="gramStart"/>
            <w:r w:rsidRPr="1C983A62" w:rsidR="004C1D1E">
              <w:rPr>
                <w:rStyle w:val="advancedproofingissue"/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2"/>
                <w:szCs w:val="22"/>
              </w:rPr>
              <w:t>at a later date</w:t>
            </w:r>
            <w:proofErr w:type="gramEnd"/>
            <w:r w:rsidRPr="1C983A62" w:rsidR="004C1D1E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2"/>
                <w:szCs w:val="22"/>
              </w:rPr>
              <w:t> </w:t>
            </w:r>
            <w:r w:rsidRPr="1C983A62" w:rsidR="004C1D1E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2"/>
                <w:szCs w:val="22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242B1" w:rsidR="004C1D1E" w:rsidP="1C983A62" w:rsidRDefault="004C1D1E" w14:paraId="15EE049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242B1" w:rsidR="004C1D1E" w:rsidP="1C983A62" w:rsidRDefault="004C1D1E" w14:paraId="41C40E7F" w14:textId="7BD42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Pr="0058281D" w:rsidR="00F27859" w:rsidTr="1C983A62" w14:paraId="3A0657F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color="auto" w:sz="4" w:space="0"/>
              <w:left w:val="single" w:color="auto" w:sz="4" w:space="0"/>
              <w:bottom w:val="single" w:color="FFFFFF" w:themeColor="background1" w:sz="4" w:space="0"/>
              <w:right w:val="single" w:color="auto" w:sz="4" w:space="0"/>
            </w:tcBorders>
            <w:tcMar/>
          </w:tcPr>
          <w:p w:rsidRPr="001F40E5" w:rsidR="008B7D2C" w:rsidP="1C983A62" w:rsidRDefault="008B7D2C" w14:paraId="2C9E14C2" w14:textId="77777777">
            <w:pPr>
              <w:spacing w:before="100" w:beforeAutospacing="on" w:after="100" w:afterAutospacing="on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/>
                <w:sz w:val="22"/>
                <w:szCs w:val="22"/>
                <w:highlight w:val="black"/>
              </w:rPr>
            </w:pPr>
            <w:r w:rsidRPr="1C983A62" w:rsidR="008B7D2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  <w:t xml:space="preserve">15 - </w:t>
            </w:r>
            <w:r w:rsidRPr="1C983A62" w:rsidR="008B7D2C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  <w:shd w:val="clear" w:color="auto" w:fill="FFFFFF"/>
              </w:rPr>
              <w:t>Automate to improve ePRO workflow</w:t>
            </w:r>
          </w:p>
          <w:p w:rsidRPr="001F40E5" w:rsidR="006664CC" w:rsidP="1C983A62" w:rsidRDefault="006664CC" w14:paraId="5D9AFE12" w14:textId="159913E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242B1" w:rsidR="006664CC" w:rsidP="1C983A62" w:rsidRDefault="006664CC" w14:paraId="1E11E2DD" w14:textId="0A7610F9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C983A62" w:rsidR="006664CC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2"/>
                <w:szCs w:val="22"/>
              </w:rPr>
              <w:t>Automates patient reminders for PRO collection </w:t>
            </w:r>
            <w:r w:rsidRPr="1C983A62" w:rsidR="006664CC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2"/>
                <w:szCs w:val="22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242B1" w:rsidR="006664CC" w:rsidP="1C983A62" w:rsidRDefault="006664CC" w14:paraId="04CA9CD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242B1" w:rsidR="006664CC" w:rsidP="1C983A62" w:rsidRDefault="006664CC" w14:paraId="2F390876" w14:textId="5AC64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Pr="0058281D" w:rsidR="00E5522C" w:rsidTr="1C983A62" w14:paraId="3D6CE4D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auto" w:sz="4" w:space="0"/>
            </w:tcBorders>
            <w:tcMar/>
          </w:tcPr>
          <w:p w:rsidRPr="001F40E5" w:rsidR="00CE7341" w:rsidP="1C983A62" w:rsidRDefault="00311EE7" w14:paraId="0833E847" w14:textId="30B4C928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highlight w:val="black"/>
              </w:rPr>
            </w:pPr>
            <w:r w:rsidRPr="1C983A62" w:rsidR="00311EE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  <w:t>15</w:t>
            </w:r>
            <w:r w:rsidRPr="1C983A62" w:rsidR="00CE734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  <w:t xml:space="preserve">- </w:t>
            </w:r>
            <w:r w:rsidRPr="1C983A62" w:rsidR="00CE734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  <w:shd w:val="clear" w:color="auto" w:fill="FFFFFF"/>
              </w:rPr>
              <w:t>Automate to improve ePRO workflow</w:t>
            </w:r>
          </w:p>
          <w:p w:rsidRPr="001F40E5" w:rsidR="006664CC" w:rsidP="1C983A62" w:rsidRDefault="006664CC" w14:paraId="513ABA96" w14:textId="4A62984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242B1" w:rsidR="006664CC" w:rsidP="1C983A62" w:rsidRDefault="006664CC" w14:paraId="5514E103" w14:textId="5E0410EC">
            <w:pPr>
              <w:pStyle w:val="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2"/>
                <w:szCs w:val="22"/>
              </w:rPr>
            </w:pPr>
            <w:r w:rsidRPr="1C983A62" w:rsidR="006664CC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2"/>
                <w:szCs w:val="22"/>
              </w:rPr>
              <w:t>Automates patient messages and directives (e.g., care instructions based on PRO scores) </w:t>
            </w:r>
            <w:r w:rsidRPr="1C983A62" w:rsidR="006664CC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2"/>
                <w:szCs w:val="22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242B1" w:rsidR="006664CC" w:rsidP="1C983A62" w:rsidRDefault="006664CC" w14:paraId="1D0905B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242B1" w:rsidR="006664CC" w:rsidP="1C983A62" w:rsidRDefault="006664CC" w14:paraId="7E2DC85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Pr="0058281D" w:rsidR="00F27859" w:rsidTr="1C983A62" w14:paraId="74B985B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auto" w:sz="4" w:space="0"/>
            </w:tcBorders>
            <w:tcMar/>
          </w:tcPr>
          <w:p w:rsidRPr="001F40E5" w:rsidR="00CE7341" w:rsidP="1C983A62" w:rsidRDefault="00311EE7" w14:paraId="68C9C869" w14:textId="4DFBB738">
            <w:pPr>
              <w:spacing w:before="100" w:beforeAutospacing="on" w:after="100" w:afterAutospacing="on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/>
                <w:sz w:val="22"/>
                <w:szCs w:val="22"/>
                <w:highlight w:val="black"/>
              </w:rPr>
            </w:pPr>
            <w:r w:rsidRPr="1C983A62" w:rsidR="00311EE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  <w:t>15</w:t>
            </w:r>
            <w:r w:rsidRPr="1C983A62" w:rsidR="00CE734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  <w:t xml:space="preserve"> - </w:t>
            </w:r>
            <w:r w:rsidRPr="1C983A62" w:rsidR="00CE734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  <w:shd w:val="clear" w:color="auto" w:fill="FFFFFF"/>
              </w:rPr>
              <w:t>Automate to improve ePRO workflow</w:t>
            </w:r>
          </w:p>
          <w:p w:rsidRPr="001F40E5" w:rsidR="00CE7341" w:rsidP="1C983A62" w:rsidRDefault="00CE7341" w14:paraId="206A0C1B" w14:textId="2BDA2C2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242B1" w:rsidR="006664CC" w:rsidP="1C983A62" w:rsidRDefault="006664CC" w14:paraId="5BEB4390" w14:textId="26402488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C983A62" w:rsidR="006664CC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2"/>
                <w:szCs w:val="22"/>
              </w:rPr>
              <w:t>Automates orders by supplying smart sets of ePROs to be delivered to the patient that adapt to the specific provider or patient situation (e.g., conditional automation) </w:t>
            </w:r>
            <w:r w:rsidRPr="1C983A62" w:rsidR="006664CC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2"/>
                <w:szCs w:val="22"/>
              </w:rPr>
              <w:t> </w:t>
            </w:r>
          </w:p>
          <w:p w:rsidRPr="00E242B1" w:rsidR="006664CC" w:rsidP="1C983A62" w:rsidRDefault="006664CC" w14:paraId="1F5F2C1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242B1" w:rsidR="006664CC" w:rsidP="1C983A62" w:rsidRDefault="006664CC" w14:paraId="449BEE9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242B1" w:rsidR="006664CC" w:rsidP="1C983A62" w:rsidRDefault="006664CC" w14:paraId="212A7439" w14:textId="6BEED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Pr="0058281D" w:rsidR="00726169" w:rsidTr="1C983A62" w14:paraId="7F68C14C" w14:textId="543B8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color="FFFFFF" w:themeColor="background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1F40E5" w:rsidR="00CE7341" w:rsidP="1C983A62" w:rsidRDefault="00DB4EC4" w14:paraId="7B3765B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highlight w:val="black"/>
              </w:rPr>
            </w:pPr>
            <w:r w:rsidRPr="1C983A62" w:rsidR="00DB4EC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  <w:t>16</w:t>
            </w:r>
            <w:r w:rsidRPr="1C983A62" w:rsidR="00CE734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  <w:t xml:space="preserve"> - </w:t>
            </w:r>
            <w:r w:rsidRPr="1C983A62" w:rsidR="00CE734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  <w:t>Customize to enhance usability</w:t>
            </w:r>
          </w:p>
          <w:p w:rsidRPr="001F40E5" w:rsidR="006664CC" w:rsidP="1C983A62" w:rsidRDefault="006664CC" w14:paraId="4A5010B8" w14:textId="17462E0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Pr="00E242B1" w:rsidR="006664CC" w:rsidP="1C983A62" w:rsidRDefault="006664CC" w14:paraId="5C854303" w14:textId="04E0C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C983A62" w:rsidR="006664C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Allows some degree of user (provider) customization for reports (e.g., tailored dashboards, graph type displayed)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242B1" w:rsidR="006664CC" w:rsidP="1C983A62" w:rsidRDefault="006664CC" w14:paraId="4BB4DE0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242B1" w:rsidR="006664CC" w:rsidP="1C983A62" w:rsidRDefault="006664CC" w14:paraId="0B57F74D" w14:textId="2D1CF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Pr="0058281D" w:rsidR="00F27859" w:rsidTr="1C983A62" w14:paraId="06506261" w14:textId="48B6F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color="auto" w:sz="4" w:space="0"/>
              <w:left w:val="single" w:color="auto" w:sz="4" w:space="0"/>
              <w:bottom w:val="single" w:color="FFFFFF" w:themeColor="background1" w:sz="4" w:space="0"/>
              <w:right w:val="single" w:color="auto" w:sz="4" w:space="0"/>
            </w:tcBorders>
            <w:tcMar/>
            <w:hideMark/>
          </w:tcPr>
          <w:p w:rsidRPr="001F40E5" w:rsidR="00CE7341" w:rsidP="1C983A62" w:rsidRDefault="008419F3" w14:paraId="6396B97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highlight w:val="black"/>
              </w:rPr>
            </w:pPr>
            <w:r w:rsidRPr="1C983A62" w:rsidR="008419F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  <w:lastRenderedPageBreak/>
              <w:t>17</w:t>
            </w:r>
            <w:r w:rsidRPr="1C983A62" w:rsidR="00CE734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  <w:t xml:space="preserve">- </w:t>
            </w:r>
            <w:r w:rsidRPr="1C983A62" w:rsidR="00CE734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  <w:shd w:val="clear" w:color="auto" w:fill="FFFFFF"/>
              </w:rPr>
              <w:t>Include drill down or up capacity</w:t>
            </w:r>
          </w:p>
          <w:p w:rsidRPr="001F40E5" w:rsidR="006664CC" w:rsidP="1C983A62" w:rsidRDefault="006664CC" w14:paraId="70CC806F" w14:textId="285654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color="FFFFFF" w:themeColor="background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242B1" w:rsidR="006664CC" w:rsidP="1C983A62" w:rsidRDefault="006664CC" w14:paraId="6554EE8C" w14:textId="68AE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C983A62" w:rsidR="006664C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Accommodates drill up and drill down to various levels of PRO data (e.g., overall score to subscore and item responses)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242B1" w:rsidR="006664CC" w:rsidP="1C983A62" w:rsidRDefault="006664CC" w14:paraId="2E0E78A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242B1" w:rsidR="006664CC" w:rsidP="1C983A62" w:rsidRDefault="006664CC" w14:paraId="2ED36089" w14:textId="74B71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Pr="0058281D" w:rsidR="00726169" w:rsidTr="1C983A62" w14:paraId="3C592870" w14:textId="7E2B3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color="FFFFFF" w:themeColor="background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1F40E5" w:rsidR="00CE7341" w:rsidP="1C983A62" w:rsidRDefault="008419F3" w14:paraId="7813B39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highlight w:val="black"/>
              </w:rPr>
            </w:pPr>
            <w:r w:rsidRPr="1C983A62" w:rsidR="008419F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  <w:t>18</w:t>
            </w:r>
            <w:r w:rsidRPr="1C983A62" w:rsidR="00CE734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  <w:t xml:space="preserve"> - </w:t>
            </w:r>
            <w:r w:rsidRPr="1C983A62" w:rsidR="00CE734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  <w:t>Provide means to filter PRO data</w:t>
            </w:r>
          </w:p>
          <w:p w:rsidRPr="001F40E5" w:rsidR="006664CC" w:rsidP="1C983A62" w:rsidRDefault="006664CC" w14:paraId="54DADDD5" w14:textId="26DD548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Pr="00E242B1" w:rsidR="006664CC" w:rsidP="1C983A62" w:rsidRDefault="006664CC" w14:paraId="37D6892C" w14:textId="6356C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C983A62" w:rsidR="006664C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Accommodates data filtering </w:t>
            </w:r>
            <w:r w:rsidRPr="1C983A62" w:rsidR="008419F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(e.g., by demographics, health outcomes) to retrieve specified subsets </w:t>
            </w:r>
            <w:r w:rsidRPr="1C983A62" w:rsidR="2430765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of patient</w:t>
            </w:r>
            <w:r w:rsidRPr="1C983A62" w:rsidR="006664C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1C983A62" w:rsidR="001E1A4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ePRO </w:t>
            </w:r>
            <w:r w:rsidRPr="1C983A62" w:rsidR="008419F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data</w:t>
            </w:r>
            <w:r w:rsidRPr="1C983A62" w:rsidR="006664C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242B1" w:rsidR="006664CC" w:rsidP="1C983A62" w:rsidRDefault="006664CC" w14:paraId="4F402FB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242B1" w:rsidR="006664CC" w:rsidP="1C983A62" w:rsidRDefault="006664CC" w14:paraId="5BF6D58D" w14:textId="7C366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Pr="0058281D" w:rsidR="00F27859" w:rsidTr="1C983A62" w14:paraId="5D776F1C" w14:textId="276B6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color="auto" w:sz="4" w:space="0"/>
              <w:left w:val="single" w:color="auto" w:sz="4" w:space="0"/>
              <w:bottom w:val="single" w:color="FFFFFF" w:themeColor="background1" w:sz="4" w:space="0"/>
              <w:right w:val="single" w:color="auto" w:sz="4" w:space="0"/>
            </w:tcBorders>
            <w:tcMar/>
            <w:hideMark/>
          </w:tcPr>
          <w:p w:rsidRPr="001F40E5" w:rsidR="00CE7341" w:rsidP="1C983A62" w:rsidRDefault="001E1A48" w14:paraId="3433F63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highlight w:val="black"/>
              </w:rPr>
            </w:pPr>
            <w:r w:rsidRPr="1C983A62" w:rsidR="001E1A4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  <w:t>19</w:t>
            </w:r>
            <w:r w:rsidRPr="1C983A62" w:rsidR="00CE734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  <w:t xml:space="preserve"> - </w:t>
            </w:r>
            <w:r w:rsidRPr="1C983A62" w:rsidR="00CE734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  <w:t>Integrate PRO and clinical data platforms </w:t>
            </w:r>
          </w:p>
          <w:p w:rsidRPr="001F40E5" w:rsidR="006664CC" w:rsidP="1C983A62" w:rsidRDefault="006664CC" w14:paraId="43712728" w14:textId="4879061A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242B1" w:rsidR="006664CC" w:rsidP="1C983A62" w:rsidRDefault="006664CC" w14:paraId="516CFECA" w14:textId="4EEAF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C983A62" w:rsidR="006664C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Accommodates ePRO and clinical data integration</w:t>
            </w:r>
            <w:r w:rsidRPr="1C983A62" w:rsidR="004F548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by importing</w:t>
            </w:r>
            <w:r w:rsidRPr="1C983A62" w:rsidR="006664C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data from the EHR in ePRO reports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242B1" w:rsidR="006664CC" w:rsidP="1C983A62" w:rsidRDefault="006664CC" w14:paraId="4EEC567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242B1" w:rsidR="006664CC" w:rsidP="1C983A62" w:rsidRDefault="006664CC" w14:paraId="5D9219A7" w14:textId="6C749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Pr="0058281D" w:rsidR="00E5522C" w:rsidTr="1C983A62" w14:paraId="755D71E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auto" w:sz="4" w:space="0"/>
            </w:tcBorders>
            <w:tcMar/>
          </w:tcPr>
          <w:p w:rsidRPr="001F40E5" w:rsidR="00CE7341" w:rsidP="1C983A62" w:rsidRDefault="001E1A48" w14:paraId="1EFBD48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highlight w:val="black"/>
              </w:rPr>
            </w:pPr>
            <w:r w:rsidRPr="1C983A62" w:rsidR="001E1A4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  <w:t>19</w:t>
            </w:r>
            <w:r w:rsidRPr="1C983A62" w:rsidR="00CE734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  <w:t xml:space="preserve">- </w:t>
            </w:r>
            <w:r w:rsidRPr="1C983A62" w:rsidR="00CE734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  <w:t>Integrate PRO and clinical data platforms </w:t>
            </w:r>
          </w:p>
          <w:p w:rsidRPr="001F40E5" w:rsidR="004F5484" w:rsidP="1C983A62" w:rsidRDefault="004F5484" w14:paraId="45C515D6" w14:textId="3E15097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242B1" w:rsidR="004F5484" w:rsidP="1C983A62" w:rsidRDefault="004F5484" w14:paraId="34E38C5C" w14:textId="6796C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C983A62" w:rsidR="004F548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Accommodates ePRO and clinical data integration by embed</w:t>
            </w:r>
            <w:r w:rsidRPr="1C983A62" w:rsidR="00311EE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</w:t>
            </w:r>
            <w:r w:rsidRPr="1C983A62" w:rsidR="004F548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 ePRO reports within the EHR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242B1" w:rsidR="004F5484" w:rsidP="1C983A62" w:rsidRDefault="004F5484" w14:paraId="188C623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242B1" w:rsidR="004F5484" w:rsidP="1C983A62" w:rsidRDefault="004F5484" w14:paraId="5C9FB13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Pr="0058281D" w:rsidR="00D35578" w:rsidTr="1C983A62" w14:paraId="7F16EDF0" w14:textId="48EF1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auto" w:sz="4" w:space="0"/>
            </w:tcBorders>
            <w:tcMar/>
            <w:hideMark/>
          </w:tcPr>
          <w:p w:rsidRPr="001F40E5" w:rsidR="00E242B1" w:rsidP="1C983A62" w:rsidRDefault="001E1A48" w14:paraId="702BC76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highlight w:val="black"/>
              </w:rPr>
            </w:pPr>
            <w:r w:rsidRPr="1C983A62" w:rsidR="001E1A4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  <w:t>20</w:t>
            </w:r>
            <w:r w:rsidRPr="1C983A62" w:rsidR="00E242B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  <w:t xml:space="preserve">- </w:t>
            </w:r>
            <w:r w:rsidRPr="1C983A62" w:rsidR="00E242B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  <w:shd w:val="clear" w:color="auto" w:fill="FFFFFF"/>
              </w:rPr>
              <w:t>Accommodate multiple platforms</w:t>
            </w:r>
          </w:p>
          <w:p w:rsidRPr="001F40E5" w:rsidR="006664CC" w:rsidP="1C983A62" w:rsidRDefault="006664CC" w14:paraId="49EE7C4F" w14:textId="5A8D06F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242B1" w:rsidR="006664CC" w:rsidP="1C983A62" w:rsidRDefault="006664CC" w14:paraId="3DEB187B" w14:textId="20B7E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C983A62" w:rsidR="006664C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Supports </w:t>
            </w:r>
            <w:r w:rsidRPr="1C983A62" w:rsidR="004F548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print friendly format of ePRO reports.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242B1" w:rsidR="006664CC" w:rsidP="1C983A62" w:rsidRDefault="006664CC" w14:paraId="20E9157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242B1" w:rsidR="006664CC" w:rsidP="1C983A62" w:rsidRDefault="006664CC" w14:paraId="170A5753" w14:textId="5BBDF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Pr="0058281D" w:rsidR="00E5522C" w:rsidTr="1C983A62" w14:paraId="7A2D512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auto" w:sz="4" w:space="0"/>
            </w:tcBorders>
            <w:tcMar/>
          </w:tcPr>
          <w:p w:rsidRPr="001F40E5" w:rsidR="00E242B1" w:rsidP="1C983A62" w:rsidRDefault="00E242B1" w14:paraId="1E332C2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highlight w:val="black"/>
              </w:rPr>
            </w:pPr>
            <w:r w:rsidRPr="1C983A62" w:rsidR="00E242B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  <w:t xml:space="preserve">20- </w:t>
            </w:r>
            <w:r w:rsidRPr="1C983A62" w:rsidR="00E242B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  <w:shd w:val="clear" w:color="auto" w:fill="FFFFFF"/>
              </w:rPr>
              <w:t>Accommodate multiple platforms</w:t>
            </w:r>
          </w:p>
          <w:p w:rsidRPr="001F40E5" w:rsidR="004F5484" w:rsidP="1C983A62" w:rsidRDefault="004F5484" w14:paraId="23A1CDC5" w14:textId="576D7BC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242B1" w:rsidR="004F5484" w:rsidP="1C983A62" w:rsidRDefault="004F5484" w14:paraId="115FCAEC" w14:textId="2827E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C983A62" w:rsidR="004F548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Supports access of ePRO reports via desktop/laptop computers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242B1" w:rsidR="004F5484" w:rsidP="1C983A62" w:rsidRDefault="004F5484" w14:paraId="22F876B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242B1" w:rsidR="004F5484" w:rsidP="1C983A62" w:rsidRDefault="004F5484" w14:paraId="30EFCA3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Pr="0058281D" w:rsidR="004F5484" w:rsidTr="1C983A62" w14:paraId="53FBCB1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auto" w:sz="4" w:space="0"/>
            </w:tcBorders>
            <w:tcMar/>
          </w:tcPr>
          <w:p w:rsidRPr="001F40E5" w:rsidR="00E242B1" w:rsidP="1C983A62" w:rsidRDefault="00E242B1" w14:paraId="6B13A8F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highlight w:val="black"/>
              </w:rPr>
            </w:pPr>
            <w:r w:rsidRPr="1C983A62" w:rsidR="00E242B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  <w:t xml:space="preserve">20- </w:t>
            </w:r>
            <w:r w:rsidRPr="1C983A62" w:rsidR="00E242B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  <w:shd w:val="clear" w:color="auto" w:fill="FFFFFF"/>
              </w:rPr>
              <w:t>Accommodate multiple platforms</w:t>
            </w:r>
          </w:p>
          <w:p w:rsidRPr="001F40E5" w:rsidR="004F5484" w:rsidP="1C983A62" w:rsidRDefault="004F5484" w14:paraId="70121A2A" w14:textId="346A3F8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242B1" w:rsidR="004F5484" w:rsidP="1C983A62" w:rsidRDefault="004F5484" w14:paraId="0182B080" w14:textId="667CF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C983A62" w:rsidR="004F548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Supports access of ePRO reports via Tablet computers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242B1" w:rsidR="004F5484" w:rsidP="1C983A62" w:rsidRDefault="004F5484" w14:paraId="0DB9E01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242B1" w:rsidR="004F5484" w:rsidP="1C983A62" w:rsidRDefault="004F5484" w14:paraId="2ED59D2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Pr="0058281D" w:rsidR="00E5522C" w:rsidTr="1C983A62" w14:paraId="556666D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color="FFFFFF" w:themeColor="background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F40E5" w:rsidR="00E242B1" w:rsidP="1C983A62" w:rsidRDefault="00E242B1" w14:paraId="5D9C9D7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highlight w:val="black"/>
              </w:rPr>
            </w:pPr>
            <w:r w:rsidRPr="1C983A62" w:rsidR="00E242B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  <w:t xml:space="preserve">20- </w:t>
            </w:r>
            <w:r w:rsidRPr="1C983A62" w:rsidR="00E242B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  <w:shd w:val="clear" w:color="auto" w:fill="FFFFFF"/>
              </w:rPr>
              <w:t>Accommodate multiple platforms</w:t>
            </w:r>
          </w:p>
          <w:p w:rsidRPr="001F40E5" w:rsidR="004F5484" w:rsidP="1C983A62" w:rsidRDefault="004F5484" w14:paraId="2028807F" w14:textId="6A80788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blac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242B1" w:rsidR="004F5484" w:rsidP="1C983A62" w:rsidRDefault="004F5484" w14:paraId="4CD650BE" w14:textId="7218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C983A62" w:rsidR="004F548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Supports access of ePRO reports via Smartphone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242B1" w:rsidR="004F5484" w:rsidP="1C983A62" w:rsidRDefault="004F5484" w14:paraId="54E4633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242B1" w:rsidR="004F5484" w:rsidP="1C983A62" w:rsidRDefault="004F5484" w14:paraId="58BFE94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</w:tbl>
    <w:p w:rsidR="005B64CD" w:rsidP="1C983A62" w:rsidRDefault="005B64CD" w14:paraId="2598FBE6" w14:textId="77777777">
      <w:pPr>
        <w:pStyle w:val="Heading2"/>
        <w:rPr>
          <w:rFonts w:ascii="Calibri" w:hAnsi="Calibri" w:eastAsia="Calibri" w:cs="Calibri" w:asciiTheme="minorAscii" w:hAnsiTheme="minorAscii" w:eastAsiaTheme="minorAscii" w:cstheme="minorAscii"/>
        </w:rPr>
      </w:pPr>
    </w:p>
    <w:sectPr w:rsidR="005B64CD" w:rsidSect="001F40E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5BC" w:rsidP="0003614C" w:rsidRDefault="006755BC" w14:paraId="7EB320A8" w14:textId="77777777">
      <w:r>
        <w:separator/>
      </w:r>
    </w:p>
    <w:p w:rsidR="006755BC" w:rsidRDefault="006755BC" w14:paraId="38F8D09B" w14:textId="77777777"/>
  </w:endnote>
  <w:endnote w:type="continuationSeparator" w:id="0">
    <w:p w:rsidR="006755BC" w:rsidP="0003614C" w:rsidRDefault="006755BC" w14:paraId="6ED79A0F" w14:textId="77777777">
      <w:r>
        <w:continuationSeparator/>
      </w:r>
    </w:p>
    <w:p w:rsidR="006755BC" w:rsidRDefault="006755BC" w14:paraId="603E36E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96E" w:rsidP="0003614C" w:rsidRDefault="0041796E" w14:paraId="0045CEAF" w14:textId="56DD3821">
    <w:pPr>
      <w:pStyle w:val="Footer"/>
    </w:pPr>
    <w: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F5157">
      <w:rPr>
        <w:noProof/>
      </w:rPr>
      <w:t>2</w:t>
    </w:r>
    <w:r>
      <w:fldChar w:fldCharType="end"/>
    </w:r>
    <w:r>
      <w:t xml:space="preserve"> of </w:t>
    </w:r>
    <w:r w:rsidR="006755BC">
      <w:fldChar w:fldCharType="begin"/>
    </w:r>
    <w:r w:rsidR="006755BC">
      <w:instrText xml:space="preserve"> NUMPAGES </w:instrText>
    </w:r>
    <w:r w:rsidR="006755BC">
      <w:fldChar w:fldCharType="separate"/>
    </w:r>
    <w:r w:rsidR="00EF5157">
      <w:rPr>
        <w:noProof/>
      </w:rPr>
      <w:t>3</w:t>
    </w:r>
    <w:r w:rsidR="006755BC">
      <w:rPr>
        <w:noProof/>
      </w:rPr>
      <w:fldChar w:fldCharType="end"/>
    </w:r>
  </w:p>
  <w:p w:rsidR="00250772" w:rsidRDefault="00250772" w14:paraId="1E670F3A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5BC" w:rsidP="0003614C" w:rsidRDefault="006755BC" w14:paraId="5342A8BB" w14:textId="77777777">
      <w:r>
        <w:separator/>
      </w:r>
    </w:p>
    <w:p w:rsidR="006755BC" w:rsidRDefault="006755BC" w14:paraId="3F4FEAB2" w14:textId="77777777"/>
  </w:footnote>
  <w:footnote w:type="continuationSeparator" w:id="0">
    <w:p w:rsidR="006755BC" w:rsidP="0003614C" w:rsidRDefault="006755BC" w14:paraId="2122D713" w14:textId="77777777">
      <w:r>
        <w:continuationSeparator/>
      </w:r>
    </w:p>
    <w:p w:rsidR="006755BC" w:rsidRDefault="006755BC" w14:paraId="50A1AA60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0C37"/>
    <w:multiLevelType w:val="hybridMultilevel"/>
    <w:tmpl w:val="939EA5BE"/>
    <w:lvl w:ilvl="0" w:tplc="04090001">
      <w:start w:val="1"/>
      <w:numFmt w:val="bullet"/>
      <w:lvlText w:val=""/>
      <w:lvlJc w:val="left"/>
      <w:pPr>
        <w:ind w:left="789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hint="default" w:ascii="Wingdings" w:hAnsi="Wingdings"/>
      </w:rPr>
    </w:lvl>
  </w:abstractNum>
  <w:abstractNum w:abstractNumId="1" w15:restartNumberingAfterBreak="0">
    <w:nsid w:val="08F4328E"/>
    <w:multiLevelType w:val="hybridMultilevel"/>
    <w:tmpl w:val="536A89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D2B90"/>
    <w:multiLevelType w:val="multilevel"/>
    <w:tmpl w:val="D6F4DF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72024"/>
    <w:multiLevelType w:val="multilevel"/>
    <w:tmpl w:val="94DE7E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11B30"/>
    <w:multiLevelType w:val="multilevel"/>
    <w:tmpl w:val="5414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5D80C15"/>
    <w:multiLevelType w:val="multilevel"/>
    <w:tmpl w:val="A5DEAEC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1749C7"/>
    <w:multiLevelType w:val="hybridMultilevel"/>
    <w:tmpl w:val="32C4DA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7" w15:restartNumberingAfterBreak="0">
    <w:nsid w:val="27534810"/>
    <w:multiLevelType w:val="hybridMultilevel"/>
    <w:tmpl w:val="829AEE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825526"/>
    <w:multiLevelType w:val="multilevel"/>
    <w:tmpl w:val="D5B4EEE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8209AF"/>
    <w:multiLevelType w:val="multilevel"/>
    <w:tmpl w:val="3D0C5B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384381"/>
    <w:multiLevelType w:val="multilevel"/>
    <w:tmpl w:val="B80C2D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040F8E"/>
    <w:multiLevelType w:val="multilevel"/>
    <w:tmpl w:val="D2FA4F7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entative="1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entative="1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entative="1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entative="1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entative="1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12" w15:restartNumberingAfterBreak="0">
    <w:nsid w:val="2ED97B58"/>
    <w:multiLevelType w:val="hybridMultilevel"/>
    <w:tmpl w:val="FA4AB11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93162"/>
    <w:multiLevelType w:val="hybridMultilevel"/>
    <w:tmpl w:val="611281EC"/>
    <w:lvl w:ilvl="0" w:tplc="04090001">
      <w:start w:val="1"/>
      <w:numFmt w:val="bullet"/>
      <w:lvlText w:val=""/>
      <w:lvlJc w:val="left"/>
      <w:pPr>
        <w:ind w:left="771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hint="default" w:ascii="Wingdings" w:hAnsi="Wingdings"/>
      </w:rPr>
    </w:lvl>
  </w:abstractNum>
  <w:abstractNum w:abstractNumId="14" w15:restartNumberingAfterBreak="0">
    <w:nsid w:val="33700FA0"/>
    <w:multiLevelType w:val="hybridMultilevel"/>
    <w:tmpl w:val="55D890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A4E0B82"/>
    <w:multiLevelType w:val="multilevel"/>
    <w:tmpl w:val="52201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3B16F1"/>
    <w:multiLevelType w:val="multilevel"/>
    <w:tmpl w:val="9050F2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60FE9"/>
    <w:multiLevelType w:val="multilevel"/>
    <w:tmpl w:val="2C80A2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00565E"/>
    <w:multiLevelType w:val="multilevel"/>
    <w:tmpl w:val="4082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4B8A2B85"/>
    <w:multiLevelType w:val="multilevel"/>
    <w:tmpl w:val="7E80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4FD57722"/>
    <w:multiLevelType w:val="multilevel"/>
    <w:tmpl w:val="26F264A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EB7A32"/>
    <w:multiLevelType w:val="multilevel"/>
    <w:tmpl w:val="55E807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AC3E15"/>
    <w:multiLevelType w:val="multilevel"/>
    <w:tmpl w:val="CD9E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573F50E4"/>
    <w:multiLevelType w:val="hybridMultilevel"/>
    <w:tmpl w:val="E5F469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8DE0211"/>
    <w:multiLevelType w:val="multilevel"/>
    <w:tmpl w:val="EFD09A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6E663E"/>
    <w:multiLevelType w:val="multilevel"/>
    <w:tmpl w:val="688C25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4D2B43"/>
    <w:multiLevelType w:val="multilevel"/>
    <w:tmpl w:val="A65E18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5F5DBD"/>
    <w:multiLevelType w:val="multilevel"/>
    <w:tmpl w:val="AAF8A1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4D1696"/>
    <w:multiLevelType w:val="multilevel"/>
    <w:tmpl w:val="77A0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 w15:restartNumberingAfterBreak="0">
    <w:nsid w:val="72C12189"/>
    <w:multiLevelType w:val="multilevel"/>
    <w:tmpl w:val="7C02EF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7E0ECB"/>
    <w:multiLevelType w:val="hybridMultilevel"/>
    <w:tmpl w:val="5EEC1A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688212F"/>
    <w:multiLevelType w:val="hybridMultilevel"/>
    <w:tmpl w:val="80C22C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69B7323"/>
    <w:multiLevelType w:val="hybridMultilevel"/>
    <w:tmpl w:val="C44E8B4A"/>
    <w:lvl w:ilvl="0" w:tplc="04090001">
      <w:start w:val="1"/>
      <w:numFmt w:val="bullet"/>
      <w:lvlText w:val=""/>
      <w:lvlJc w:val="left"/>
      <w:pPr>
        <w:ind w:left="789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hint="default" w:ascii="Wingdings" w:hAnsi="Wingdings"/>
      </w:rPr>
    </w:lvl>
  </w:abstractNum>
  <w:abstractNum w:abstractNumId="33" w15:restartNumberingAfterBreak="0">
    <w:nsid w:val="79AF7F2A"/>
    <w:multiLevelType w:val="hybridMultilevel"/>
    <w:tmpl w:val="AAC28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A6844"/>
    <w:multiLevelType w:val="multilevel"/>
    <w:tmpl w:val="85EE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4D669D"/>
    <w:multiLevelType w:val="hybridMultilevel"/>
    <w:tmpl w:val="A4F018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C620CA3"/>
    <w:multiLevelType w:val="multilevel"/>
    <w:tmpl w:val="F3D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7DB43A75"/>
    <w:multiLevelType w:val="multilevel"/>
    <w:tmpl w:val="C3B232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1C4DAA"/>
    <w:multiLevelType w:val="hybridMultilevel"/>
    <w:tmpl w:val="51C69464"/>
    <w:lvl w:ilvl="0" w:tplc="04090001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hint="default" w:ascii="Wingdings" w:hAnsi="Wingdings"/>
      </w:rPr>
    </w:lvl>
  </w:abstractNum>
  <w:abstractNum w:abstractNumId="39" w15:restartNumberingAfterBreak="0">
    <w:nsid w:val="7FF82A11"/>
    <w:multiLevelType w:val="multilevel"/>
    <w:tmpl w:val="02ACC0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5"/>
  </w:num>
  <w:num w:numId="3">
    <w:abstractNumId w:val="16"/>
  </w:num>
  <w:num w:numId="4">
    <w:abstractNumId w:val="15"/>
  </w:num>
  <w:num w:numId="5">
    <w:abstractNumId w:val="3"/>
  </w:num>
  <w:num w:numId="6">
    <w:abstractNumId w:val="9"/>
  </w:num>
  <w:num w:numId="7">
    <w:abstractNumId w:val="17"/>
  </w:num>
  <w:num w:numId="8">
    <w:abstractNumId w:val="27"/>
  </w:num>
  <w:num w:numId="9">
    <w:abstractNumId w:val="21"/>
  </w:num>
  <w:num w:numId="10">
    <w:abstractNumId w:val="39"/>
  </w:num>
  <w:num w:numId="11">
    <w:abstractNumId w:val="37"/>
  </w:num>
  <w:num w:numId="12">
    <w:abstractNumId w:val="10"/>
  </w:num>
  <w:num w:numId="13">
    <w:abstractNumId w:val="20"/>
  </w:num>
  <w:num w:numId="14">
    <w:abstractNumId w:val="8"/>
  </w:num>
  <w:num w:numId="15">
    <w:abstractNumId w:val="23"/>
  </w:num>
  <w:num w:numId="16">
    <w:abstractNumId w:val="38"/>
  </w:num>
  <w:num w:numId="17">
    <w:abstractNumId w:val="13"/>
  </w:num>
  <w:num w:numId="18">
    <w:abstractNumId w:val="35"/>
  </w:num>
  <w:num w:numId="19">
    <w:abstractNumId w:val="14"/>
  </w:num>
  <w:num w:numId="20">
    <w:abstractNumId w:val="4"/>
  </w:num>
  <w:num w:numId="21">
    <w:abstractNumId w:val="22"/>
  </w:num>
  <w:num w:numId="22">
    <w:abstractNumId w:val="30"/>
  </w:num>
  <w:num w:numId="23">
    <w:abstractNumId w:val="26"/>
  </w:num>
  <w:num w:numId="24">
    <w:abstractNumId w:val="29"/>
  </w:num>
  <w:num w:numId="25">
    <w:abstractNumId w:val="25"/>
  </w:num>
  <w:num w:numId="26">
    <w:abstractNumId w:val="2"/>
  </w:num>
  <w:num w:numId="27">
    <w:abstractNumId w:val="24"/>
  </w:num>
  <w:num w:numId="28">
    <w:abstractNumId w:val="11"/>
  </w:num>
  <w:num w:numId="29">
    <w:abstractNumId w:val="12"/>
  </w:num>
  <w:num w:numId="30">
    <w:abstractNumId w:val="1"/>
  </w:num>
  <w:num w:numId="31">
    <w:abstractNumId w:val="36"/>
  </w:num>
  <w:num w:numId="32">
    <w:abstractNumId w:val="19"/>
  </w:num>
  <w:num w:numId="33">
    <w:abstractNumId w:val="0"/>
  </w:num>
  <w:num w:numId="34">
    <w:abstractNumId w:val="32"/>
  </w:num>
  <w:num w:numId="35">
    <w:abstractNumId w:val="28"/>
  </w:num>
  <w:num w:numId="36">
    <w:abstractNumId w:val="18"/>
  </w:num>
  <w:num w:numId="37">
    <w:abstractNumId w:val="7"/>
  </w:num>
  <w:num w:numId="38">
    <w:abstractNumId w:val="31"/>
  </w:num>
  <w:num w:numId="39">
    <w:abstractNumId w:val="6"/>
  </w:num>
  <w:num w:numId="40">
    <w:abstractNumId w:val="3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CD"/>
    <w:rsid w:val="000110C1"/>
    <w:rsid w:val="00011EB7"/>
    <w:rsid w:val="00026F1F"/>
    <w:rsid w:val="0002798B"/>
    <w:rsid w:val="00031BC9"/>
    <w:rsid w:val="0003614C"/>
    <w:rsid w:val="0004154D"/>
    <w:rsid w:val="000464B3"/>
    <w:rsid w:val="00052310"/>
    <w:rsid w:val="00055713"/>
    <w:rsid w:val="00055839"/>
    <w:rsid w:val="00060EA5"/>
    <w:rsid w:val="00061245"/>
    <w:rsid w:val="000646F8"/>
    <w:rsid w:val="00071CB2"/>
    <w:rsid w:val="0007226D"/>
    <w:rsid w:val="00081FA5"/>
    <w:rsid w:val="000877D6"/>
    <w:rsid w:val="0009042F"/>
    <w:rsid w:val="00093977"/>
    <w:rsid w:val="00096397"/>
    <w:rsid w:val="000C25D5"/>
    <w:rsid w:val="000C6719"/>
    <w:rsid w:val="000D22AC"/>
    <w:rsid w:val="000D3FE0"/>
    <w:rsid w:val="000F010F"/>
    <w:rsid w:val="000F2D20"/>
    <w:rsid w:val="000F4154"/>
    <w:rsid w:val="00101699"/>
    <w:rsid w:val="00101EDE"/>
    <w:rsid w:val="00106A6E"/>
    <w:rsid w:val="00110C3E"/>
    <w:rsid w:val="001306D5"/>
    <w:rsid w:val="00130D73"/>
    <w:rsid w:val="00131997"/>
    <w:rsid w:val="00151825"/>
    <w:rsid w:val="001526CA"/>
    <w:rsid w:val="00156B83"/>
    <w:rsid w:val="001741C0"/>
    <w:rsid w:val="001924BF"/>
    <w:rsid w:val="00194D6D"/>
    <w:rsid w:val="001A10DE"/>
    <w:rsid w:val="001A1C6C"/>
    <w:rsid w:val="001C7292"/>
    <w:rsid w:val="001D08E8"/>
    <w:rsid w:val="001D7784"/>
    <w:rsid w:val="001D7B93"/>
    <w:rsid w:val="001E1A48"/>
    <w:rsid w:val="001F40E5"/>
    <w:rsid w:val="00204F6B"/>
    <w:rsid w:val="002076EA"/>
    <w:rsid w:val="00210A31"/>
    <w:rsid w:val="00220BFF"/>
    <w:rsid w:val="00222CA5"/>
    <w:rsid w:val="002270E6"/>
    <w:rsid w:val="00250772"/>
    <w:rsid w:val="002545FF"/>
    <w:rsid w:val="0025572F"/>
    <w:rsid w:val="00261692"/>
    <w:rsid w:val="00266420"/>
    <w:rsid w:val="0027668B"/>
    <w:rsid w:val="002810E0"/>
    <w:rsid w:val="002825E5"/>
    <w:rsid w:val="00284545"/>
    <w:rsid w:val="00287CA8"/>
    <w:rsid w:val="00287CB3"/>
    <w:rsid w:val="00293422"/>
    <w:rsid w:val="00293454"/>
    <w:rsid w:val="002938A2"/>
    <w:rsid w:val="00293C2B"/>
    <w:rsid w:val="002A238D"/>
    <w:rsid w:val="002A4494"/>
    <w:rsid w:val="002A7EE3"/>
    <w:rsid w:val="002B2F09"/>
    <w:rsid w:val="002B5E4B"/>
    <w:rsid w:val="002B602F"/>
    <w:rsid w:val="002B78BE"/>
    <w:rsid w:val="002C0072"/>
    <w:rsid w:val="002C4323"/>
    <w:rsid w:val="002C55C9"/>
    <w:rsid w:val="002D7D67"/>
    <w:rsid w:val="002E11ED"/>
    <w:rsid w:val="0030122B"/>
    <w:rsid w:val="00311EE7"/>
    <w:rsid w:val="00314E61"/>
    <w:rsid w:val="00337D50"/>
    <w:rsid w:val="0034460D"/>
    <w:rsid w:val="00345F06"/>
    <w:rsid w:val="00347BF8"/>
    <w:rsid w:val="003528EB"/>
    <w:rsid w:val="00352B9B"/>
    <w:rsid w:val="00356432"/>
    <w:rsid w:val="00363149"/>
    <w:rsid w:val="00365C2D"/>
    <w:rsid w:val="003727CE"/>
    <w:rsid w:val="00381D25"/>
    <w:rsid w:val="003A1B8E"/>
    <w:rsid w:val="003A4416"/>
    <w:rsid w:val="003A4E62"/>
    <w:rsid w:val="003B3256"/>
    <w:rsid w:val="003B34E3"/>
    <w:rsid w:val="003B6DD9"/>
    <w:rsid w:val="003C25EE"/>
    <w:rsid w:val="003C4FDE"/>
    <w:rsid w:val="003E582A"/>
    <w:rsid w:val="003F1B58"/>
    <w:rsid w:val="0041796E"/>
    <w:rsid w:val="00431297"/>
    <w:rsid w:val="004337E0"/>
    <w:rsid w:val="00435F42"/>
    <w:rsid w:val="00441BFC"/>
    <w:rsid w:val="004448C9"/>
    <w:rsid w:val="00444EFA"/>
    <w:rsid w:val="004471C2"/>
    <w:rsid w:val="00450B47"/>
    <w:rsid w:val="0045127E"/>
    <w:rsid w:val="00455622"/>
    <w:rsid w:val="00461F0C"/>
    <w:rsid w:val="00470DC0"/>
    <w:rsid w:val="00476139"/>
    <w:rsid w:val="00483036"/>
    <w:rsid w:val="00486A7E"/>
    <w:rsid w:val="004A09BE"/>
    <w:rsid w:val="004A3BEC"/>
    <w:rsid w:val="004A7F8C"/>
    <w:rsid w:val="004B2FE7"/>
    <w:rsid w:val="004B4619"/>
    <w:rsid w:val="004C1D1E"/>
    <w:rsid w:val="004C3542"/>
    <w:rsid w:val="004E0241"/>
    <w:rsid w:val="004E6042"/>
    <w:rsid w:val="004F5484"/>
    <w:rsid w:val="00503BCE"/>
    <w:rsid w:val="005056F6"/>
    <w:rsid w:val="00517B84"/>
    <w:rsid w:val="005262B1"/>
    <w:rsid w:val="005335A1"/>
    <w:rsid w:val="00536E46"/>
    <w:rsid w:val="005402CE"/>
    <w:rsid w:val="00540640"/>
    <w:rsid w:val="00540DEC"/>
    <w:rsid w:val="00541B41"/>
    <w:rsid w:val="005432C4"/>
    <w:rsid w:val="00557F79"/>
    <w:rsid w:val="0056110B"/>
    <w:rsid w:val="00563310"/>
    <w:rsid w:val="005650DB"/>
    <w:rsid w:val="00580A8D"/>
    <w:rsid w:val="0058281D"/>
    <w:rsid w:val="005835DD"/>
    <w:rsid w:val="005904EF"/>
    <w:rsid w:val="00596997"/>
    <w:rsid w:val="005A5F5E"/>
    <w:rsid w:val="005B288D"/>
    <w:rsid w:val="005B64CD"/>
    <w:rsid w:val="005D1F93"/>
    <w:rsid w:val="005D6AF8"/>
    <w:rsid w:val="005D7AC8"/>
    <w:rsid w:val="005E4245"/>
    <w:rsid w:val="005E7556"/>
    <w:rsid w:val="005E75B9"/>
    <w:rsid w:val="005F1447"/>
    <w:rsid w:val="005F7887"/>
    <w:rsid w:val="00601731"/>
    <w:rsid w:val="0060273B"/>
    <w:rsid w:val="00604087"/>
    <w:rsid w:val="00623580"/>
    <w:rsid w:val="00636219"/>
    <w:rsid w:val="00637661"/>
    <w:rsid w:val="00642011"/>
    <w:rsid w:val="0064451B"/>
    <w:rsid w:val="00653BA1"/>
    <w:rsid w:val="00655B69"/>
    <w:rsid w:val="006664CC"/>
    <w:rsid w:val="006715F4"/>
    <w:rsid w:val="00672406"/>
    <w:rsid w:val="006755BC"/>
    <w:rsid w:val="0067600B"/>
    <w:rsid w:val="00680ABD"/>
    <w:rsid w:val="00681288"/>
    <w:rsid w:val="00683B6C"/>
    <w:rsid w:val="006854F7"/>
    <w:rsid w:val="00686016"/>
    <w:rsid w:val="006905C4"/>
    <w:rsid w:val="00692517"/>
    <w:rsid w:val="00694BA0"/>
    <w:rsid w:val="006977AA"/>
    <w:rsid w:val="006A008A"/>
    <w:rsid w:val="006A04C4"/>
    <w:rsid w:val="006A556C"/>
    <w:rsid w:val="006B0B13"/>
    <w:rsid w:val="006B1786"/>
    <w:rsid w:val="006C0FA8"/>
    <w:rsid w:val="006C3781"/>
    <w:rsid w:val="006C465E"/>
    <w:rsid w:val="006D157D"/>
    <w:rsid w:val="006E0241"/>
    <w:rsid w:val="006E30AF"/>
    <w:rsid w:val="006E7093"/>
    <w:rsid w:val="006F3614"/>
    <w:rsid w:val="006F58E8"/>
    <w:rsid w:val="006F7C15"/>
    <w:rsid w:val="0070620D"/>
    <w:rsid w:val="00710112"/>
    <w:rsid w:val="007148CF"/>
    <w:rsid w:val="00721AF8"/>
    <w:rsid w:val="00725FA5"/>
    <w:rsid w:val="00726169"/>
    <w:rsid w:val="0073083B"/>
    <w:rsid w:val="00744DF0"/>
    <w:rsid w:val="007454CB"/>
    <w:rsid w:val="00747F75"/>
    <w:rsid w:val="007758C8"/>
    <w:rsid w:val="00780DD7"/>
    <w:rsid w:val="00781FFB"/>
    <w:rsid w:val="007861AF"/>
    <w:rsid w:val="007926AB"/>
    <w:rsid w:val="007F0524"/>
    <w:rsid w:val="007F1A6A"/>
    <w:rsid w:val="007F3913"/>
    <w:rsid w:val="0080126A"/>
    <w:rsid w:val="00801E80"/>
    <w:rsid w:val="00802FD0"/>
    <w:rsid w:val="00810396"/>
    <w:rsid w:val="00826D58"/>
    <w:rsid w:val="0082706E"/>
    <w:rsid w:val="00833067"/>
    <w:rsid w:val="00840015"/>
    <w:rsid w:val="008419F3"/>
    <w:rsid w:val="00853C37"/>
    <w:rsid w:val="00854047"/>
    <w:rsid w:val="00855397"/>
    <w:rsid w:val="00857E7A"/>
    <w:rsid w:val="008611BC"/>
    <w:rsid w:val="00861B65"/>
    <w:rsid w:val="0086277C"/>
    <w:rsid w:val="0087018C"/>
    <w:rsid w:val="008701A8"/>
    <w:rsid w:val="00871ABE"/>
    <w:rsid w:val="00884D8A"/>
    <w:rsid w:val="0089284E"/>
    <w:rsid w:val="0089298E"/>
    <w:rsid w:val="00893EA6"/>
    <w:rsid w:val="00894FC9"/>
    <w:rsid w:val="00896239"/>
    <w:rsid w:val="008A007B"/>
    <w:rsid w:val="008A3F47"/>
    <w:rsid w:val="008A5D10"/>
    <w:rsid w:val="008B2A5C"/>
    <w:rsid w:val="008B4CB2"/>
    <w:rsid w:val="008B5CA2"/>
    <w:rsid w:val="008B5D16"/>
    <w:rsid w:val="008B7D2C"/>
    <w:rsid w:val="008C4E47"/>
    <w:rsid w:val="008D0FAA"/>
    <w:rsid w:val="008D7039"/>
    <w:rsid w:val="008E44E9"/>
    <w:rsid w:val="008E534D"/>
    <w:rsid w:val="008F1FBC"/>
    <w:rsid w:val="00900EEA"/>
    <w:rsid w:val="00907A31"/>
    <w:rsid w:val="00911B00"/>
    <w:rsid w:val="00911F21"/>
    <w:rsid w:val="00914E72"/>
    <w:rsid w:val="00922BA4"/>
    <w:rsid w:val="00927A7A"/>
    <w:rsid w:val="00936411"/>
    <w:rsid w:val="0093675B"/>
    <w:rsid w:val="00936E6B"/>
    <w:rsid w:val="00956D1C"/>
    <w:rsid w:val="00960CBA"/>
    <w:rsid w:val="009624B8"/>
    <w:rsid w:val="009749BE"/>
    <w:rsid w:val="00975E1F"/>
    <w:rsid w:val="00980B17"/>
    <w:rsid w:val="009978F0"/>
    <w:rsid w:val="009A25E9"/>
    <w:rsid w:val="009B0768"/>
    <w:rsid w:val="009B4E7A"/>
    <w:rsid w:val="009B51B5"/>
    <w:rsid w:val="009C1427"/>
    <w:rsid w:val="009D561F"/>
    <w:rsid w:val="009E0F99"/>
    <w:rsid w:val="009E3159"/>
    <w:rsid w:val="009E38D0"/>
    <w:rsid w:val="009F63DB"/>
    <w:rsid w:val="00A0345F"/>
    <w:rsid w:val="00A05224"/>
    <w:rsid w:val="00A14DD9"/>
    <w:rsid w:val="00A15073"/>
    <w:rsid w:val="00A16E45"/>
    <w:rsid w:val="00A21584"/>
    <w:rsid w:val="00A23D0D"/>
    <w:rsid w:val="00A2567F"/>
    <w:rsid w:val="00A304E5"/>
    <w:rsid w:val="00A30620"/>
    <w:rsid w:val="00A30DBF"/>
    <w:rsid w:val="00A326F4"/>
    <w:rsid w:val="00A40F94"/>
    <w:rsid w:val="00A41CF7"/>
    <w:rsid w:val="00A42390"/>
    <w:rsid w:val="00A4397F"/>
    <w:rsid w:val="00A57D35"/>
    <w:rsid w:val="00A70A2C"/>
    <w:rsid w:val="00A723E7"/>
    <w:rsid w:val="00A73C75"/>
    <w:rsid w:val="00A764B5"/>
    <w:rsid w:val="00A8016E"/>
    <w:rsid w:val="00A86B3E"/>
    <w:rsid w:val="00A91A36"/>
    <w:rsid w:val="00A96787"/>
    <w:rsid w:val="00AA13EE"/>
    <w:rsid w:val="00AA1631"/>
    <w:rsid w:val="00AA5474"/>
    <w:rsid w:val="00AA58FF"/>
    <w:rsid w:val="00AB1C47"/>
    <w:rsid w:val="00AB1CDE"/>
    <w:rsid w:val="00AB3C6C"/>
    <w:rsid w:val="00AB73FE"/>
    <w:rsid w:val="00AE1E39"/>
    <w:rsid w:val="00AE3E51"/>
    <w:rsid w:val="00AE4DD3"/>
    <w:rsid w:val="00AE6FD2"/>
    <w:rsid w:val="00AF04B3"/>
    <w:rsid w:val="00AF0755"/>
    <w:rsid w:val="00AF3517"/>
    <w:rsid w:val="00B10C73"/>
    <w:rsid w:val="00B11393"/>
    <w:rsid w:val="00B307B8"/>
    <w:rsid w:val="00B408AB"/>
    <w:rsid w:val="00B543DE"/>
    <w:rsid w:val="00B63533"/>
    <w:rsid w:val="00B66289"/>
    <w:rsid w:val="00B71225"/>
    <w:rsid w:val="00B73632"/>
    <w:rsid w:val="00B823E4"/>
    <w:rsid w:val="00B828F8"/>
    <w:rsid w:val="00B84A11"/>
    <w:rsid w:val="00BA3664"/>
    <w:rsid w:val="00BA4CBC"/>
    <w:rsid w:val="00BA5154"/>
    <w:rsid w:val="00BD1F6D"/>
    <w:rsid w:val="00BD476A"/>
    <w:rsid w:val="00BD4D52"/>
    <w:rsid w:val="00BD64FD"/>
    <w:rsid w:val="00BE1A6B"/>
    <w:rsid w:val="00BE4E06"/>
    <w:rsid w:val="00BE64A5"/>
    <w:rsid w:val="00BF23F0"/>
    <w:rsid w:val="00BF3A32"/>
    <w:rsid w:val="00C00E45"/>
    <w:rsid w:val="00C06982"/>
    <w:rsid w:val="00C3602D"/>
    <w:rsid w:val="00C45E3E"/>
    <w:rsid w:val="00C46F1E"/>
    <w:rsid w:val="00C5344A"/>
    <w:rsid w:val="00C53C2A"/>
    <w:rsid w:val="00C60812"/>
    <w:rsid w:val="00C6650F"/>
    <w:rsid w:val="00C77193"/>
    <w:rsid w:val="00C7786C"/>
    <w:rsid w:val="00C920B2"/>
    <w:rsid w:val="00CA40BD"/>
    <w:rsid w:val="00CA53CF"/>
    <w:rsid w:val="00CC145C"/>
    <w:rsid w:val="00CD2BD4"/>
    <w:rsid w:val="00CE147E"/>
    <w:rsid w:val="00CE7341"/>
    <w:rsid w:val="00CF1959"/>
    <w:rsid w:val="00CF4AB2"/>
    <w:rsid w:val="00CF5DFE"/>
    <w:rsid w:val="00D02769"/>
    <w:rsid w:val="00D03F0B"/>
    <w:rsid w:val="00D067F1"/>
    <w:rsid w:val="00D06A78"/>
    <w:rsid w:val="00D11FEF"/>
    <w:rsid w:val="00D1392C"/>
    <w:rsid w:val="00D142D5"/>
    <w:rsid w:val="00D20A1B"/>
    <w:rsid w:val="00D21A0F"/>
    <w:rsid w:val="00D236BC"/>
    <w:rsid w:val="00D24560"/>
    <w:rsid w:val="00D33A16"/>
    <w:rsid w:val="00D35578"/>
    <w:rsid w:val="00D36DC7"/>
    <w:rsid w:val="00D42614"/>
    <w:rsid w:val="00D46D92"/>
    <w:rsid w:val="00D61AD3"/>
    <w:rsid w:val="00D830B9"/>
    <w:rsid w:val="00D92F74"/>
    <w:rsid w:val="00D944BA"/>
    <w:rsid w:val="00DA7654"/>
    <w:rsid w:val="00DB0229"/>
    <w:rsid w:val="00DB0CC5"/>
    <w:rsid w:val="00DB488B"/>
    <w:rsid w:val="00DB4EC4"/>
    <w:rsid w:val="00DC0A31"/>
    <w:rsid w:val="00DD21F2"/>
    <w:rsid w:val="00DE12B6"/>
    <w:rsid w:val="00DE38D5"/>
    <w:rsid w:val="00DE4311"/>
    <w:rsid w:val="00DE542A"/>
    <w:rsid w:val="00DF3AF0"/>
    <w:rsid w:val="00E0595B"/>
    <w:rsid w:val="00E14A94"/>
    <w:rsid w:val="00E242B1"/>
    <w:rsid w:val="00E37652"/>
    <w:rsid w:val="00E40C95"/>
    <w:rsid w:val="00E41AEC"/>
    <w:rsid w:val="00E5522C"/>
    <w:rsid w:val="00E61A4F"/>
    <w:rsid w:val="00E6271C"/>
    <w:rsid w:val="00E64E4F"/>
    <w:rsid w:val="00E6530F"/>
    <w:rsid w:val="00E72990"/>
    <w:rsid w:val="00E83E18"/>
    <w:rsid w:val="00E84AC2"/>
    <w:rsid w:val="00E859A9"/>
    <w:rsid w:val="00E879C3"/>
    <w:rsid w:val="00E92799"/>
    <w:rsid w:val="00E9530C"/>
    <w:rsid w:val="00E95B27"/>
    <w:rsid w:val="00EB0185"/>
    <w:rsid w:val="00EB215E"/>
    <w:rsid w:val="00EB7FFD"/>
    <w:rsid w:val="00ED7E9F"/>
    <w:rsid w:val="00EE194A"/>
    <w:rsid w:val="00EE7B77"/>
    <w:rsid w:val="00EF0C37"/>
    <w:rsid w:val="00EF163F"/>
    <w:rsid w:val="00EF5157"/>
    <w:rsid w:val="00F163B9"/>
    <w:rsid w:val="00F27859"/>
    <w:rsid w:val="00F27A93"/>
    <w:rsid w:val="00F34105"/>
    <w:rsid w:val="00F517CC"/>
    <w:rsid w:val="00F61DC2"/>
    <w:rsid w:val="00F728DD"/>
    <w:rsid w:val="00F822B2"/>
    <w:rsid w:val="00F923B1"/>
    <w:rsid w:val="00F96B1A"/>
    <w:rsid w:val="00FC2967"/>
    <w:rsid w:val="00FE40DC"/>
    <w:rsid w:val="00FF2BC1"/>
    <w:rsid w:val="00FF3A37"/>
    <w:rsid w:val="00FF558D"/>
    <w:rsid w:val="1C983A62"/>
    <w:rsid w:val="24307651"/>
    <w:rsid w:val="52AC3352"/>
    <w:rsid w:val="5E24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89DB9"/>
  <w15:chartTrackingRefBased/>
  <w15:docId w15:val="{7EB89B01-5930-0E4C-93A9-ED1D390FB4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eastAsia="Symbol" w:ascii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autoRedefine/>
    <w:qFormat/>
    <w:rsid w:val="00E242B1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D16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D16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0241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5B64CD"/>
    <w:rPr>
      <w:i/>
    </w:rPr>
  </w:style>
  <w:style w:type="character" w:styleId="normaltextrun" w:customStyle="1">
    <w:name w:val="normaltextrun"/>
    <w:basedOn w:val="DefaultParagraphFont"/>
    <w:rsid w:val="005B64CD"/>
  </w:style>
  <w:style w:type="character" w:styleId="eop" w:customStyle="1">
    <w:name w:val="eop"/>
    <w:basedOn w:val="DefaultParagraphFont"/>
    <w:rsid w:val="005B64CD"/>
  </w:style>
  <w:style w:type="paragraph" w:styleId="ListParagraph">
    <w:name w:val="List Paragraph"/>
    <w:basedOn w:val="Normal"/>
    <w:uiPriority w:val="34"/>
    <w:qFormat/>
    <w:rsid w:val="002C0072"/>
    <w:pPr>
      <w:ind w:left="720"/>
      <w:contextualSpacing/>
    </w:pPr>
  </w:style>
  <w:style w:type="character" w:styleId="advancedproofingissue" w:customStyle="1">
    <w:name w:val="advancedproofingissue"/>
    <w:basedOn w:val="DefaultParagraphFont"/>
    <w:rsid w:val="0058281D"/>
  </w:style>
  <w:style w:type="table" w:styleId="GridTable4">
    <w:name w:val="Grid Table 4"/>
    <w:basedOn w:val="TableNormal"/>
    <w:uiPriority w:val="49"/>
    <w:rsid w:val="006664CC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eading2Char" w:customStyle="1">
    <w:name w:val="Heading 2 Char"/>
    <w:basedOn w:val="DefaultParagraphFont"/>
    <w:link w:val="Heading2"/>
    <w:uiPriority w:val="9"/>
    <w:rsid w:val="008B5D16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8B5D16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4E0241"/>
    <w:rPr>
      <w:rFonts w:asciiTheme="majorHAnsi" w:hAnsiTheme="majorHAnsi" w:eastAsiaTheme="majorEastAsia" w:cstheme="majorBidi"/>
      <w:color w:val="1F3763" w:themeColor="accent1" w:themeShade="7F"/>
    </w:rPr>
  </w:style>
  <w:style w:type="table" w:styleId="GridTable4-Accent3">
    <w:name w:val="Grid Table 4 Accent 3"/>
    <w:basedOn w:val="TableNormal"/>
    <w:uiPriority w:val="49"/>
    <w:rsid w:val="00563310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tyle1" w:customStyle="1">
    <w:name w:val="Style1"/>
    <w:basedOn w:val="Normal"/>
    <w:autoRedefine/>
    <w:qFormat/>
    <w:rsid w:val="00F27859"/>
    <w:rPr>
      <w:b/>
    </w:rPr>
  </w:style>
  <w:style w:type="paragraph" w:styleId="Header">
    <w:name w:val="header"/>
    <w:basedOn w:val="Normal"/>
    <w:link w:val="HeaderChar"/>
    <w:uiPriority w:val="99"/>
    <w:unhideWhenUsed/>
    <w:rsid w:val="0041796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1796E"/>
    <w:rPr>
      <w:rFonts w:ascii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796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1796E"/>
    <w:rPr>
      <w:rFonts w:ascii="Calibri" w:hAnsi="Calibri" w:cs="Calibri"/>
      <w:color w:val="000000"/>
      <w:sz w:val="22"/>
      <w:szCs w:val="22"/>
    </w:rPr>
  </w:style>
  <w:style w:type="table" w:styleId="GridTable5Dark">
    <w:name w:val="Grid Table 5 Dark"/>
    <w:basedOn w:val="TableNormal"/>
    <w:uiPriority w:val="50"/>
    <w:rsid w:val="001F40E5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2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9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9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3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9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5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3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2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9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2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7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9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1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7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7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Cynthia LeRouge</dc:creator>
  <keywords/>
  <dc:description/>
  <lastModifiedBy>Jenney Lee</lastModifiedBy>
  <revision>3</revision>
  <dcterms:created xsi:type="dcterms:W3CDTF">2020-04-30T22:33:00.0000000Z</dcterms:created>
  <dcterms:modified xsi:type="dcterms:W3CDTF">2020-04-30T23:03:31.0269332Z</dcterms:modified>
</coreProperties>
</file>